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杭银理财幸福99季添益1912期理财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0"/>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上述风险仅为列举情况，可能未能详尽列明投资本理财计划可能面临的全部风险和可能导致投资者本金及收益损失的所有因素。针对本理财计划可能面临的各类潜在风险，管理人将本着勤勉尽责的管理原则，采用包括不限于如下风险控制措施予以应对：</w:t>
      </w:r>
    </w:p>
    <w:p>
      <w:pPr>
        <w:numPr>
          <w:ilvl w:val="0"/>
          <w:numId w:val="5"/>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针对各类核心风险，实施精细化分级管控。对于市场风险，建立市场行情动态监测、资产估值校验、投资组合管理机制，实时跟踪利率、汇率、资本市场等波动变量，通过限额管理、分散投资、压力测试等方式缓释市场波动风险；对于信用风险，建立严格的交易对手准入、信用评级、尽职调查及存续期跟踪机制，常态化开展信用风险排查与预警，严控信用违约风险；对于流动性风险，建立流动性指标常态化监测、大额申赎管控、应急流动性储备等机制，严格落实流动性风险限额管理，有效应对产品与市场流动性波动变化风险。</w:t>
      </w:r>
    </w:p>
    <w:p>
      <w:pPr>
        <w:numPr>
          <w:ilvl w:val="0"/>
          <w:numId w:val="5"/>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强化操作风险与合规风险管控，建立全面内部控制体系，对业务操作、系统运维、人员管理等关键环节实施常态化稽核检查与风险排查，规范岗位操作权限，完善系统风控壁垒，维护理财计划稳健运营。</w:t>
      </w:r>
    </w:p>
    <w:p>
      <w:pPr>
        <w:numPr>
          <w:ilvl w:val="0"/>
          <w:numId w:val="5"/>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持续完善风险治理结构，建立自上而下、权责清晰的风险管理组织体系，构建“事前防范、事中监控、事后处置”的全链条风险治理机制，各类风险统一归口管理、分级分类管控，切实保障投资者合规合法权益。</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7"/>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8"/>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8"/>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8"/>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9"/>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9"/>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9"/>
        </w:numPr>
        <w:spacing w:line="360" w:lineRule="auto"/>
        <w:jc w:val="left"/>
        <w:outlineLvl w:val="9"/>
        <w:rPr>
          <w:rFonts w:hint="eastAsia" w:ascii="宋体" w:hAnsi="宋体" w:cs="宋体"/>
          <w:b/>
          <w:bCs/>
          <w:sz w:val="24"/>
          <w:highlight w:val="none"/>
        </w:rPr>
      </w:pPr>
      <w:r>
        <w:rPr>
          <w:rFonts w:hint="eastAsia" w:ascii="宋体" w:hAnsi="宋体" w:cs="宋体"/>
          <w:b/>
          <w:bCs/>
          <w:color w:val="000000"/>
          <w:sz w:val="24"/>
          <w:highlight w:val="none"/>
          <w:lang w:eastAsia="zh-CN"/>
        </w:rPr>
        <w:t>根据适当性管理原则，将理财投资人分为专业投资者和普通投资者。其中专业投资者应符合下列条件之一：</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1.银行业金融机构、保险业金融机构、金融控股公司、证券基金期货经营机构、私募基金管理人；</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2.上述机构面向投资者发行的金融产品，信托公司管理的资产服务信托、公益慈善信托；</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3.社会保障基金、企业年金、职业年金等养老基金，慈善基金等社会公益基金，合格境外机构投资者（QFII）、人民币合格境外机构投资者（ROFII）。</w:t>
      </w:r>
    </w:p>
    <w:p>
      <w:pPr>
        <w:numPr>
          <w:ilvl w:val="0"/>
          <w:numId w:val="0"/>
        </w:numPr>
        <w:spacing w:line="360" w:lineRule="auto"/>
        <w:ind w:left="420" w:left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专业投资者之外的投资者为普通投资者。</w:t>
      </w:r>
    </w:p>
    <w:p>
      <w:pPr>
        <w:numPr>
          <w:ilvl w:val="0"/>
          <w:numId w:val="0"/>
        </w:numPr>
        <w:spacing w:line="360" w:lineRule="auto"/>
        <w:ind w:left="420" w:leftChars="0"/>
        <w:jc w:val="left"/>
        <w:outlineLvl w:val="9"/>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pStyle w:val="9"/>
        <w:keepNext w:val="0"/>
        <w:keepLines w:val="0"/>
        <w:pageBreakBefore/>
        <w:widowControl/>
        <w:suppressLineNumbers w:val="0"/>
        <w:autoSpaceDE w:val="0"/>
        <w:autoSpaceDN w:val="0"/>
        <w:adjustRightInd w:val="0"/>
        <w:spacing w:before="0" w:beforeAutospacing="0" w:after="0" w:afterAutospacing="0" w:line="360" w:lineRule="auto"/>
        <w:ind w:left="0" w:leftChars="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“本人/本机构已经阅读上述风险揭示，愿意承担投资风险。”如通过线上渠道购买，认/申购交易确认即知晓并同意自身风险承受能力等级并确认风险揭示内容，愿意承担投资风险，与书面签署具有同等效力。</w:t>
      </w: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lang w:val="en-US" w:eastAsia="zh-CN" w:bidi="ar"/>
        </w:rPr>
        <w:t>本人/本机构同时确认如下：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机构投资者（盖章）：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黑体"/>
          <w:b/>
          <w:bCs/>
          <w:kern w:val="0"/>
          <w:sz w:val="21"/>
          <w:szCs w:val="21"/>
        </w:rPr>
      </w:pPr>
      <w:r>
        <w:rPr>
          <w:rFonts w:hint="eastAsia" w:ascii="宋体" w:hAnsi="宋体" w:eastAsia="宋体" w:cs="宋体"/>
          <w:color w:val="000000"/>
          <w:kern w:val="2"/>
          <w:sz w:val="21"/>
          <w:szCs w:val="21"/>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1">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FFFB3463"/>
    <w:multiLevelType w:val="singleLevel"/>
    <w:tmpl w:val="FFFB3463"/>
    <w:lvl w:ilvl="0" w:tentative="0">
      <w:start w:val="1"/>
      <w:numFmt w:val="chineseCounting"/>
      <w:suff w:val="space"/>
      <w:lvlText w:val="（%1）"/>
      <w:lvlJc w:val="left"/>
      <w:rPr>
        <w:rFonts w:hint="eastAsia"/>
      </w:rPr>
    </w:lvl>
  </w:abstractNum>
  <w:abstractNum w:abstractNumId="4">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5">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6">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7">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8">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num w:numId="1">
    <w:abstractNumId w:val="1"/>
  </w:num>
  <w:num w:numId="2">
    <w:abstractNumId w:val="0"/>
  </w:num>
  <w:num w:numId="3">
    <w:abstractNumId w:val="6"/>
  </w:num>
  <w:num w:numId="4">
    <w:abstractNumId w:val="5"/>
  </w:num>
  <w:num w:numId="5">
    <w:abstractNumId w:val="3"/>
  </w:num>
  <w:num w:numId="6">
    <w:abstractNumId w:val="2"/>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956C5E"/>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161EEC"/>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414FFD"/>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2A664C"/>
    <w:rsid w:val="444440BE"/>
    <w:rsid w:val="44AC49CD"/>
    <w:rsid w:val="44B91F56"/>
    <w:rsid w:val="457556F4"/>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2551CA7"/>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E9983"/>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EFDFEE78"/>
    <w:rsid w:val="F3C7F184"/>
    <w:rsid w:val="F3F331A4"/>
    <w:rsid w:val="F3FE7E0E"/>
    <w:rsid w:val="F3FF81F7"/>
    <w:rsid w:val="F4EDC7A5"/>
    <w:rsid w:val="F6D7AFF1"/>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43825</Words>
  <Characters>47077</Characters>
  <Lines>1</Lines>
  <Paragraphs>1</Paragraphs>
  <TotalTime>1</TotalTime>
  <ScaleCrop>false</ScaleCrop>
  <LinksUpToDate>false</LinksUpToDate>
  <CharactersWithSpaces>47425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2026-09-21T06:26:53Z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A6DC37101B004CE3980F956AFE420ED0_43</vt:lpwstr>
  </property>
  <property fmtid="{D5CDD505-2E9C-101B-9397-08002B2CF9AE}" pid="3" name="KSOProductBuildVer">
    <vt:lpwstr>2052-11.8.2.8411</vt:lpwstr>
  </property>
</Properties>
</file>